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057" w:rsidRPr="00A74057" w:rsidRDefault="00A74057" w:rsidP="00A74057">
      <w:pPr>
        <w:widowControl/>
        <w:shd w:val="clear" w:color="auto" w:fill="FFFFFF"/>
        <w:spacing w:line="307" w:lineRule="atLeast"/>
        <w:jc w:val="left"/>
        <w:rPr>
          <w:rFonts w:ascii="Helvetica" w:eastAsia="宋体" w:hAnsi="Helvetica" w:cs="Helvetica"/>
          <w:color w:val="3E3E3E"/>
          <w:kern w:val="0"/>
          <w:sz w:val="19"/>
          <w:szCs w:val="19"/>
        </w:rPr>
      </w:pPr>
      <w:r w:rsidRPr="00A74057">
        <w:rPr>
          <w:rFonts w:ascii="Helvetica" w:eastAsia="宋体" w:hAnsi="Helvetica" w:cs="Helvetica"/>
          <w:color w:val="3E3E3E"/>
          <w:kern w:val="0"/>
          <w:sz w:val="19"/>
          <w:szCs w:val="19"/>
        </w:rPr>
        <w:t>附件</w:t>
      </w:r>
    </w:p>
    <w:p w:rsidR="00A74057" w:rsidRPr="00A74057" w:rsidRDefault="00A74057" w:rsidP="00A74057">
      <w:pPr>
        <w:widowControl/>
        <w:shd w:val="clear" w:color="auto" w:fill="FFFFFF"/>
        <w:spacing w:line="307" w:lineRule="atLeast"/>
        <w:jc w:val="right"/>
        <w:rPr>
          <w:rFonts w:ascii="Helvetica" w:eastAsia="宋体" w:hAnsi="Helvetica" w:cs="Helvetica"/>
          <w:color w:val="3E3E3E"/>
          <w:kern w:val="0"/>
          <w:sz w:val="19"/>
          <w:szCs w:val="19"/>
        </w:rPr>
      </w:pPr>
    </w:p>
    <w:p w:rsidR="00A74057" w:rsidRPr="00A74057" w:rsidRDefault="00A74057" w:rsidP="00A74057">
      <w:pPr>
        <w:widowControl/>
        <w:shd w:val="clear" w:color="auto" w:fill="FFFFFF"/>
        <w:spacing w:line="307" w:lineRule="atLeast"/>
        <w:jc w:val="center"/>
        <w:rPr>
          <w:rFonts w:ascii="Helvetica" w:eastAsia="宋体" w:hAnsi="Helvetica" w:cs="Helvetica"/>
          <w:color w:val="3E3E3E"/>
          <w:kern w:val="0"/>
          <w:sz w:val="19"/>
          <w:szCs w:val="19"/>
        </w:rPr>
      </w:pPr>
      <w:r w:rsidRPr="00A74057">
        <w:rPr>
          <w:rFonts w:ascii="Helvetica" w:eastAsia="宋体" w:hAnsi="Helvetica" w:cs="Helvetica"/>
          <w:b/>
          <w:bCs/>
          <w:color w:val="0052FF"/>
          <w:kern w:val="0"/>
          <w:sz w:val="19"/>
        </w:rPr>
        <w:t>重点任务分工</w:t>
      </w:r>
    </w:p>
    <w:tbl>
      <w:tblPr>
        <w:tblW w:w="8016" w:type="dxa"/>
        <w:shd w:val="clear" w:color="auto" w:fill="FFFFFF"/>
        <w:tblCellMar>
          <w:left w:w="0" w:type="dxa"/>
          <w:right w:w="0" w:type="dxa"/>
        </w:tblCellMar>
        <w:tblLook w:val="04A0"/>
      </w:tblPr>
      <w:tblGrid>
        <w:gridCol w:w="417"/>
        <w:gridCol w:w="775"/>
        <w:gridCol w:w="2884"/>
        <w:gridCol w:w="3940"/>
      </w:tblGrid>
      <w:tr w:rsidR="00A74057" w:rsidRPr="00A74057" w:rsidTr="00A74057">
        <w:tc>
          <w:tcPr>
            <w:tcW w:w="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宋体" w:eastAsia="宋体" w:hAnsi="宋体" w:cs="Helvetica" w:hint="eastAsia"/>
                <w:b/>
                <w:bCs/>
                <w:color w:val="3E3E3E"/>
                <w:kern w:val="0"/>
                <w:sz w:val="20"/>
              </w:rPr>
              <w:t>序号</w:t>
            </w:r>
          </w:p>
        </w:tc>
        <w:tc>
          <w:tcPr>
            <w:tcW w:w="86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宋体" w:eastAsia="宋体" w:hAnsi="宋体" w:cs="Helvetica" w:hint="eastAsia"/>
                <w:b/>
                <w:bCs/>
                <w:color w:val="3E3E3E"/>
                <w:kern w:val="0"/>
                <w:sz w:val="20"/>
              </w:rPr>
              <w:t>工作任务</w:t>
            </w:r>
          </w:p>
        </w:tc>
        <w:tc>
          <w:tcPr>
            <w:tcW w:w="26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宋体" w:eastAsia="宋体" w:hAnsi="宋体" w:cs="Helvetica" w:hint="eastAsia"/>
                <w:b/>
                <w:bCs/>
                <w:color w:val="3E3E3E"/>
                <w:kern w:val="0"/>
                <w:sz w:val="20"/>
              </w:rPr>
              <w:t>主要内容</w:t>
            </w:r>
          </w:p>
        </w:tc>
        <w:tc>
          <w:tcPr>
            <w:tcW w:w="307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宋体" w:eastAsia="宋体" w:hAnsi="宋体" w:cs="Helvetica" w:hint="eastAsia"/>
                <w:b/>
                <w:bCs/>
                <w:color w:val="3E3E3E"/>
                <w:kern w:val="0"/>
                <w:sz w:val="20"/>
              </w:rPr>
              <w:t>责任单位</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1</w:t>
            </w:r>
          </w:p>
        </w:tc>
        <w:tc>
          <w:tcPr>
            <w:tcW w:w="86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构建教育和产业统筹融合发展格局</w:t>
            </w:r>
          </w:p>
        </w:tc>
        <w:tc>
          <w:tcPr>
            <w:tcW w:w="33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同步规划产教融合与经济社会发展。</w:t>
            </w:r>
          </w:p>
        </w:tc>
        <w:tc>
          <w:tcPr>
            <w:tcW w:w="30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国家发展改革委会同有关部门，各省级人民政府</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2</w:t>
            </w:r>
          </w:p>
        </w:tc>
        <w:tc>
          <w:tcPr>
            <w:tcW w:w="0" w:type="auto"/>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jc w:val="left"/>
              <w:rPr>
                <w:rFonts w:ascii="Calibri" w:eastAsia="宋体" w:hAnsi="Calibri" w:cs="Helvetica"/>
                <w:color w:val="3E3E3E"/>
                <w:kern w:val="0"/>
                <w:szCs w:val="21"/>
              </w:rPr>
            </w:pPr>
          </w:p>
        </w:tc>
        <w:tc>
          <w:tcPr>
            <w:tcW w:w="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统筹职业教育与区域发展布局。</w:t>
            </w:r>
          </w:p>
        </w:tc>
        <w:tc>
          <w:tcPr>
            <w:tcW w:w="47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教育部、国家发展改革委、人力资源社会保障部，各省级人民政府</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3</w:t>
            </w:r>
          </w:p>
        </w:tc>
        <w:tc>
          <w:tcPr>
            <w:tcW w:w="0" w:type="auto"/>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jc w:val="left"/>
              <w:rPr>
                <w:rFonts w:ascii="Calibri" w:eastAsia="宋体" w:hAnsi="Calibri" w:cs="Helvetica"/>
                <w:color w:val="3E3E3E"/>
                <w:kern w:val="0"/>
                <w:szCs w:val="21"/>
              </w:rPr>
            </w:pPr>
          </w:p>
        </w:tc>
        <w:tc>
          <w:tcPr>
            <w:tcW w:w="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促进高等教育融入国家创新体系和新型城镇化建设。</w:t>
            </w:r>
          </w:p>
        </w:tc>
        <w:tc>
          <w:tcPr>
            <w:tcW w:w="47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教育部、国家发展改革委、科技部，有关省级人民政府</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4</w:t>
            </w:r>
          </w:p>
        </w:tc>
        <w:tc>
          <w:tcPr>
            <w:tcW w:w="0" w:type="auto"/>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jc w:val="left"/>
              <w:rPr>
                <w:rFonts w:ascii="Calibri" w:eastAsia="宋体" w:hAnsi="Calibri" w:cs="Helvetica"/>
                <w:color w:val="3E3E3E"/>
                <w:kern w:val="0"/>
                <w:szCs w:val="21"/>
              </w:rPr>
            </w:pPr>
          </w:p>
        </w:tc>
        <w:tc>
          <w:tcPr>
            <w:tcW w:w="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推动学科专业建设与产业转型升级相适应。建立紧密对接产业链、创新链的学科专业体系。加快推进新工科建设。</w:t>
            </w:r>
          </w:p>
        </w:tc>
        <w:tc>
          <w:tcPr>
            <w:tcW w:w="47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教育部、国家发展改革委会同有关部门</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5</w:t>
            </w:r>
          </w:p>
        </w:tc>
        <w:tc>
          <w:tcPr>
            <w:tcW w:w="0" w:type="auto"/>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jc w:val="left"/>
              <w:rPr>
                <w:rFonts w:ascii="Calibri" w:eastAsia="宋体" w:hAnsi="Calibri" w:cs="Helvetica"/>
                <w:color w:val="3E3E3E"/>
                <w:kern w:val="0"/>
                <w:szCs w:val="21"/>
              </w:rPr>
            </w:pPr>
          </w:p>
        </w:tc>
        <w:tc>
          <w:tcPr>
            <w:tcW w:w="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健全需求导向的人才培养结构调整机制。严格实行专业预警和退出机制。</w:t>
            </w:r>
          </w:p>
        </w:tc>
        <w:tc>
          <w:tcPr>
            <w:tcW w:w="47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教育部会同有关部门</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6</w:t>
            </w:r>
          </w:p>
        </w:tc>
        <w:tc>
          <w:tcPr>
            <w:tcW w:w="86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强化企业重要主体作用</w:t>
            </w:r>
          </w:p>
        </w:tc>
        <w:tc>
          <w:tcPr>
            <w:tcW w:w="33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鼓励企业以独资、合资、合作等方式依法参与举办职业教育、高等教育。坚持准入条件透明化、审批范围最小化，细化标准、简化流程、优化服务，改进办学准入条件和审批环节。</w:t>
            </w:r>
          </w:p>
        </w:tc>
        <w:tc>
          <w:tcPr>
            <w:tcW w:w="30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教育部会同有关部门</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7</w:t>
            </w:r>
          </w:p>
        </w:tc>
        <w:tc>
          <w:tcPr>
            <w:tcW w:w="0" w:type="auto"/>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jc w:val="left"/>
              <w:rPr>
                <w:rFonts w:ascii="Calibri" w:eastAsia="宋体" w:hAnsi="Calibri" w:cs="Helvetica"/>
                <w:color w:val="3E3E3E"/>
                <w:kern w:val="0"/>
                <w:szCs w:val="21"/>
              </w:rPr>
            </w:pPr>
          </w:p>
        </w:tc>
        <w:tc>
          <w:tcPr>
            <w:tcW w:w="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鼓励有条件的地区探索推进职业学校股份制、混合所有制改革，允许企业以资本、技术、管理等要素依法参与办学并享有相应权利。</w:t>
            </w:r>
          </w:p>
        </w:tc>
        <w:tc>
          <w:tcPr>
            <w:tcW w:w="47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有关省级人民政府</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8</w:t>
            </w:r>
          </w:p>
        </w:tc>
        <w:tc>
          <w:tcPr>
            <w:tcW w:w="0" w:type="auto"/>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jc w:val="left"/>
              <w:rPr>
                <w:rFonts w:ascii="Calibri" w:eastAsia="宋体" w:hAnsi="Calibri" w:cs="Helvetica"/>
                <w:color w:val="3E3E3E"/>
                <w:kern w:val="0"/>
                <w:szCs w:val="21"/>
              </w:rPr>
            </w:pPr>
          </w:p>
        </w:tc>
        <w:tc>
          <w:tcPr>
            <w:tcW w:w="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深化“引企入教”改革，促进企业需求融入人才培养环节。</w:t>
            </w:r>
          </w:p>
        </w:tc>
        <w:tc>
          <w:tcPr>
            <w:tcW w:w="47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教育部、人力资源社会保障部、工业和信息化部会同有关部门</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9</w:t>
            </w:r>
          </w:p>
        </w:tc>
        <w:tc>
          <w:tcPr>
            <w:tcW w:w="0" w:type="auto"/>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jc w:val="left"/>
              <w:rPr>
                <w:rFonts w:ascii="Calibri" w:eastAsia="宋体" w:hAnsi="Calibri" w:cs="Helvetica"/>
                <w:color w:val="3E3E3E"/>
                <w:kern w:val="0"/>
                <w:szCs w:val="21"/>
              </w:rPr>
            </w:pPr>
          </w:p>
        </w:tc>
        <w:tc>
          <w:tcPr>
            <w:tcW w:w="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健全学生到企业实习实训制度，推进实习实训规范化。</w:t>
            </w:r>
          </w:p>
        </w:tc>
        <w:tc>
          <w:tcPr>
            <w:tcW w:w="47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教育部、国家发展改革委、人力资源社会保障部会同有关部门</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10</w:t>
            </w:r>
          </w:p>
        </w:tc>
        <w:tc>
          <w:tcPr>
            <w:tcW w:w="86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强化企业重要主体作用</w:t>
            </w:r>
          </w:p>
        </w:tc>
        <w:tc>
          <w:tcPr>
            <w:tcW w:w="33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30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教育部、科技部会同有关部门</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lastRenderedPageBreak/>
              <w:t>11</w:t>
            </w:r>
          </w:p>
        </w:tc>
        <w:tc>
          <w:tcPr>
            <w:tcW w:w="0" w:type="auto"/>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jc w:val="left"/>
              <w:rPr>
                <w:rFonts w:ascii="Calibri" w:eastAsia="宋体" w:hAnsi="Calibri" w:cs="Helvetica"/>
                <w:color w:val="3E3E3E"/>
                <w:kern w:val="0"/>
                <w:szCs w:val="21"/>
              </w:rPr>
            </w:pPr>
          </w:p>
        </w:tc>
        <w:tc>
          <w:tcPr>
            <w:tcW w:w="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继续加强企业技术中心和高校技术创新平台建设，鼓励企业和高校共建产业技术实验室、中试和工程化基地。利用产业投资基金支持高校创新成果和核心技术产业化。</w:t>
            </w:r>
          </w:p>
        </w:tc>
        <w:tc>
          <w:tcPr>
            <w:tcW w:w="47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国家发展改革委、教育部、科技部、财政部会同有关部门</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12</w:t>
            </w:r>
          </w:p>
        </w:tc>
        <w:tc>
          <w:tcPr>
            <w:tcW w:w="0" w:type="auto"/>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jc w:val="left"/>
              <w:rPr>
                <w:rFonts w:ascii="Calibri" w:eastAsia="宋体" w:hAnsi="Calibri" w:cs="Helvetica"/>
                <w:color w:val="3E3E3E"/>
                <w:kern w:val="0"/>
                <w:szCs w:val="21"/>
              </w:rPr>
            </w:pPr>
          </w:p>
        </w:tc>
        <w:tc>
          <w:tcPr>
            <w:tcW w:w="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强化企业职工在岗教育培训。</w:t>
            </w:r>
          </w:p>
        </w:tc>
        <w:tc>
          <w:tcPr>
            <w:tcW w:w="47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全国总工会、人力资源社会保障部会同有关部门</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13</w:t>
            </w:r>
          </w:p>
        </w:tc>
        <w:tc>
          <w:tcPr>
            <w:tcW w:w="0" w:type="auto"/>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jc w:val="left"/>
              <w:rPr>
                <w:rFonts w:ascii="Calibri" w:eastAsia="宋体" w:hAnsi="Calibri" w:cs="Helvetica"/>
                <w:color w:val="3E3E3E"/>
                <w:kern w:val="0"/>
                <w:szCs w:val="21"/>
              </w:rPr>
            </w:pPr>
          </w:p>
        </w:tc>
        <w:tc>
          <w:tcPr>
            <w:tcW w:w="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鼓励区域、行业骨干企业联合职业学校、高等学校共同组建产教融合集团（联盟），带动中小企业参与，推进实体化运作。</w:t>
            </w:r>
          </w:p>
        </w:tc>
        <w:tc>
          <w:tcPr>
            <w:tcW w:w="47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有关部门和行业协会，各省级人民政府</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14</w:t>
            </w:r>
          </w:p>
        </w:tc>
        <w:tc>
          <w:tcPr>
            <w:tcW w:w="0" w:type="auto"/>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jc w:val="left"/>
              <w:rPr>
                <w:rFonts w:ascii="Calibri" w:eastAsia="宋体" w:hAnsi="Calibri" w:cs="Helvetica"/>
                <w:color w:val="3E3E3E"/>
                <w:kern w:val="0"/>
                <w:szCs w:val="21"/>
              </w:rPr>
            </w:pPr>
          </w:p>
        </w:tc>
        <w:tc>
          <w:tcPr>
            <w:tcW w:w="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注重发挥国有企业特别是中央企业示范带头作用，支持各类企业依法参与校企合作。</w:t>
            </w:r>
          </w:p>
        </w:tc>
        <w:tc>
          <w:tcPr>
            <w:tcW w:w="47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国务院国资委、全国工商联</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15</w:t>
            </w:r>
          </w:p>
        </w:tc>
        <w:tc>
          <w:tcPr>
            <w:tcW w:w="0" w:type="auto"/>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jc w:val="left"/>
              <w:rPr>
                <w:rFonts w:ascii="Calibri" w:eastAsia="宋体" w:hAnsi="Calibri" w:cs="Helvetica"/>
                <w:color w:val="3E3E3E"/>
                <w:kern w:val="0"/>
                <w:szCs w:val="21"/>
              </w:rPr>
            </w:pPr>
          </w:p>
        </w:tc>
        <w:tc>
          <w:tcPr>
            <w:tcW w:w="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结合推进国有企业改革，支持有条件的国有企业继续办好做强职业学校。</w:t>
            </w:r>
          </w:p>
        </w:tc>
        <w:tc>
          <w:tcPr>
            <w:tcW w:w="47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国务院国资委、国家发展改革委、财政部</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16</w:t>
            </w:r>
          </w:p>
        </w:tc>
        <w:tc>
          <w:tcPr>
            <w:tcW w:w="86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推进产教融合人才培养改革</w:t>
            </w:r>
          </w:p>
        </w:tc>
        <w:tc>
          <w:tcPr>
            <w:tcW w:w="33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将工匠精神培育融入基础教育。深化全日制职业学校办学体制改革，在技术性、实践性较强的专业，全面推行现代学徒制和企业新型学徒制。</w:t>
            </w:r>
          </w:p>
        </w:tc>
        <w:tc>
          <w:tcPr>
            <w:tcW w:w="30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教育部、人力资源社会保障部、国家发展改革委、全国总工会会同有关部门</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17</w:t>
            </w:r>
          </w:p>
        </w:tc>
        <w:tc>
          <w:tcPr>
            <w:tcW w:w="0" w:type="auto"/>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jc w:val="left"/>
              <w:rPr>
                <w:rFonts w:ascii="Calibri" w:eastAsia="宋体" w:hAnsi="Calibri" w:cs="Helvetica"/>
                <w:color w:val="3E3E3E"/>
                <w:kern w:val="0"/>
                <w:szCs w:val="21"/>
              </w:rPr>
            </w:pPr>
          </w:p>
        </w:tc>
        <w:tc>
          <w:tcPr>
            <w:tcW w:w="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健全高等教育学术人才和应用人才分类培养体系，提高应用型人才培养比重。</w:t>
            </w:r>
          </w:p>
        </w:tc>
        <w:tc>
          <w:tcPr>
            <w:tcW w:w="47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教育部、国家发展改革委会同有关部门</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18</w:t>
            </w:r>
          </w:p>
        </w:tc>
        <w:tc>
          <w:tcPr>
            <w:tcW w:w="0" w:type="auto"/>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jc w:val="left"/>
              <w:rPr>
                <w:rFonts w:ascii="Calibri" w:eastAsia="宋体" w:hAnsi="Calibri" w:cs="Helvetica"/>
                <w:color w:val="3E3E3E"/>
                <w:kern w:val="0"/>
                <w:szCs w:val="21"/>
              </w:rPr>
            </w:pPr>
          </w:p>
        </w:tc>
        <w:tc>
          <w:tcPr>
            <w:tcW w:w="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加强产教融合师资队伍建设。支持企业技术和管理人才到学校任教，鼓励有条件的地方探索产业教师（导师）特设岗位计划。</w:t>
            </w:r>
          </w:p>
        </w:tc>
        <w:tc>
          <w:tcPr>
            <w:tcW w:w="47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教育部，各省级人民政府</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19</w:t>
            </w:r>
          </w:p>
        </w:tc>
        <w:tc>
          <w:tcPr>
            <w:tcW w:w="0" w:type="auto"/>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jc w:val="left"/>
              <w:rPr>
                <w:rFonts w:ascii="Calibri" w:eastAsia="宋体" w:hAnsi="Calibri" w:cs="Helvetica"/>
                <w:color w:val="3E3E3E"/>
                <w:kern w:val="0"/>
                <w:szCs w:val="21"/>
              </w:rPr>
            </w:pPr>
          </w:p>
        </w:tc>
        <w:tc>
          <w:tcPr>
            <w:tcW w:w="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适度提高高等学校招收职业教育毕业生比例，建立复合型、创新型技术技能人才系统培养制度。逐步提高高等学校招收有工作实践经历人员的比例。</w:t>
            </w:r>
          </w:p>
        </w:tc>
        <w:tc>
          <w:tcPr>
            <w:tcW w:w="47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教育部会同有关部门</w:t>
            </w:r>
          </w:p>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Calibri" w:eastAsia="宋体" w:hAnsi="Calibri" w:cs="Helvetica"/>
                <w:color w:val="3E3E3E"/>
                <w:kern w:val="0"/>
                <w:sz w:val="20"/>
                <w:szCs w:val="20"/>
              </w:rPr>
              <w:t> </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20</w:t>
            </w:r>
          </w:p>
        </w:tc>
        <w:tc>
          <w:tcPr>
            <w:tcW w:w="0" w:type="auto"/>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jc w:val="left"/>
              <w:rPr>
                <w:rFonts w:ascii="Calibri" w:eastAsia="宋体" w:hAnsi="Calibri" w:cs="Helvetica"/>
                <w:color w:val="3E3E3E"/>
                <w:kern w:val="0"/>
                <w:szCs w:val="21"/>
              </w:rPr>
            </w:pPr>
          </w:p>
        </w:tc>
        <w:tc>
          <w:tcPr>
            <w:tcW w:w="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加快学校治理结构改革。创新教育培训服务供给。</w:t>
            </w:r>
          </w:p>
        </w:tc>
        <w:tc>
          <w:tcPr>
            <w:tcW w:w="47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教育部会同有关部门</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21</w:t>
            </w:r>
          </w:p>
        </w:tc>
        <w:tc>
          <w:tcPr>
            <w:tcW w:w="8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促进产教供需双向对接</w:t>
            </w:r>
          </w:p>
        </w:tc>
        <w:tc>
          <w:tcPr>
            <w:tcW w:w="33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强化行业协调指导。规范发展市场服务组织。打造信息服务平台。健全社会第三方评价。</w:t>
            </w:r>
          </w:p>
        </w:tc>
        <w:tc>
          <w:tcPr>
            <w:tcW w:w="30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国家发展改革委、教育部、有关部门和行业协会，有关省级人民政府</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lastRenderedPageBreak/>
              <w:t>22</w:t>
            </w:r>
          </w:p>
        </w:tc>
        <w:tc>
          <w:tcPr>
            <w:tcW w:w="86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完善政策支持体系</w:t>
            </w:r>
          </w:p>
        </w:tc>
        <w:tc>
          <w:tcPr>
            <w:tcW w:w="33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实施产教融合发展工程。</w:t>
            </w:r>
          </w:p>
        </w:tc>
        <w:tc>
          <w:tcPr>
            <w:tcW w:w="30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国家发展改革委、教育部、人力资源社会保障部</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23</w:t>
            </w:r>
          </w:p>
        </w:tc>
        <w:tc>
          <w:tcPr>
            <w:tcW w:w="0" w:type="auto"/>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jc w:val="left"/>
              <w:rPr>
                <w:rFonts w:ascii="Calibri" w:eastAsia="宋体" w:hAnsi="Calibri" w:cs="Helvetica"/>
                <w:color w:val="3E3E3E"/>
                <w:kern w:val="0"/>
                <w:szCs w:val="21"/>
              </w:rPr>
            </w:pPr>
          </w:p>
        </w:tc>
        <w:tc>
          <w:tcPr>
            <w:tcW w:w="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落实财税用地等政策。</w:t>
            </w:r>
          </w:p>
        </w:tc>
        <w:tc>
          <w:tcPr>
            <w:tcW w:w="47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财政部、税务总局、国土资源部、国家发展改革委，各省级人民政府</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24</w:t>
            </w:r>
          </w:p>
        </w:tc>
        <w:tc>
          <w:tcPr>
            <w:tcW w:w="0" w:type="auto"/>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jc w:val="left"/>
              <w:rPr>
                <w:rFonts w:ascii="Calibri" w:eastAsia="宋体" w:hAnsi="Calibri" w:cs="Helvetica"/>
                <w:color w:val="3E3E3E"/>
                <w:kern w:val="0"/>
                <w:szCs w:val="21"/>
              </w:rPr>
            </w:pPr>
          </w:p>
        </w:tc>
        <w:tc>
          <w:tcPr>
            <w:tcW w:w="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强化金融支持。</w:t>
            </w:r>
          </w:p>
        </w:tc>
        <w:tc>
          <w:tcPr>
            <w:tcW w:w="47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人民银行、银监会、证监会、保监会、国家发展改革委、财政部</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25</w:t>
            </w:r>
          </w:p>
        </w:tc>
        <w:tc>
          <w:tcPr>
            <w:tcW w:w="0" w:type="auto"/>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jc w:val="left"/>
              <w:rPr>
                <w:rFonts w:ascii="Calibri" w:eastAsia="宋体" w:hAnsi="Calibri" w:cs="Helvetica"/>
                <w:color w:val="3E3E3E"/>
                <w:kern w:val="0"/>
                <w:szCs w:val="21"/>
              </w:rPr>
            </w:pPr>
          </w:p>
        </w:tc>
        <w:tc>
          <w:tcPr>
            <w:tcW w:w="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开展产教融合建设试点。</w:t>
            </w:r>
          </w:p>
        </w:tc>
        <w:tc>
          <w:tcPr>
            <w:tcW w:w="47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国家发展改革委、教育部会同有关部门，各省级人民政府</w:t>
            </w:r>
          </w:p>
        </w:tc>
      </w:tr>
      <w:tr w:rsidR="00A74057" w:rsidRPr="00A74057" w:rsidTr="00A74057">
        <w:tc>
          <w:tcPr>
            <w:tcW w:w="39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jc w:val="center"/>
              <w:rPr>
                <w:rFonts w:ascii="Calibri" w:eastAsia="宋体" w:hAnsi="Calibri" w:cs="Helvetica"/>
                <w:color w:val="3E3E3E"/>
                <w:kern w:val="0"/>
                <w:szCs w:val="21"/>
              </w:rPr>
            </w:pPr>
            <w:r w:rsidRPr="00A74057">
              <w:rPr>
                <w:rFonts w:ascii="Calibri" w:eastAsia="宋体" w:hAnsi="Calibri" w:cs="Helvetica"/>
                <w:color w:val="3E3E3E"/>
                <w:kern w:val="0"/>
                <w:sz w:val="20"/>
                <w:szCs w:val="20"/>
              </w:rPr>
              <w:t>26</w:t>
            </w:r>
          </w:p>
        </w:tc>
        <w:tc>
          <w:tcPr>
            <w:tcW w:w="0" w:type="auto"/>
            <w:vMerge/>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jc w:val="left"/>
              <w:rPr>
                <w:rFonts w:ascii="Calibri" w:eastAsia="宋体" w:hAnsi="Calibri" w:cs="Helvetica"/>
                <w:color w:val="3E3E3E"/>
                <w:kern w:val="0"/>
                <w:szCs w:val="21"/>
              </w:rPr>
            </w:pPr>
          </w:p>
        </w:tc>
        <w:tc>
          <w:tcPr>
            <w:tcW w:w="8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加强国际交流合作。</w:t>
            </w:r>
          </w:p>
        </w:tc>
        <w:tc>
          <w:tcPr>
            <w:tcW w:w="476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A74057" w:rsidRPr="00A74057" w:rsidRDefault="00A74057" w:rsidP="00A74057">
            <w:pPr>
              <w:widowControl/>
              <w:wordWrap w:val="0"/>
              <w:spacing w:line="307" w:lineRule="atLeast"/>
              <w:rPr>
                <w:rFonts w:ascii="Calibri" w:eastAsia="宋体" w:hAnsi="Calibri" w:cs="Helvetica"/>
                <w:color w:val="3E3E3E"/>
                <w:kern w:val="0"/>
                <w:szCs w:val="21"/>
              </w:rPr>
            </w:pPr>
            <w:r w:rsidRPr="00A74057">
              <w:rPr>
                <w:rFonts w:ascii="宋体" w:eastAsia="宋体" w:hAnsi="宋体" w:cs="Helvetica" w:hint="eastAsia"/>
                <w:color w:val="3E3E3E"/>
                <w:kern w:val="0"/>
                <w:sz w:val="20"/>
                <w:szCs w:val="20"/>
              </w:rPr>
              <w:t>教育部会同有关部门</w:t>
            </w:r>
          </w:p>
        </w:tc>
      </w:tr>
    </w:tbl>
    <w:p w:rsidR="00A74057" w:rsidRPr="00A74057" w:rsidRDefault="00A74057" w:rsidP="00A74057">
      <w:pPr>
        <w:widowControl/>
        <w:shd w:val="clear" w:color="auto" w:fill="FFFFFF"/>
        <w:spacing w:line="307" w:lineRule="atLeast"/>
        <w:jc w:val="left"/>
        <w:rPr>
          <w:rFonts w:ascii="Helvetica" w:eastAsia="宋体" w:hAnsi="Helvetica" w:cs="Helvetica"/>
          <w:color w:val="3E3E3E"/>
          <w:kern w:val="0"/>
          <w:sz w:val="19"/>
          <w:szCs w:val="19"/>
        </w:rPr>
      </w:pPr>
      <w:r w:rsidRPr="00A74057">
        <w:rPr>
          <w:rFonts w:ascii="Helvetica" w:eastAsia="宋体" w:hAnsi="Helvetica" w:cs="Helvetica"/>
          <w:b/>
          <w:bCs/>
          <w:color w:val="3E3E3E"/>
          <w:kern w:val="0"/>
          <w:sz w:val="19"/>
        </w:rPr>
        <w:t>来源</w:t>
      </w:r>
      <w:r w:rsidRPr="00A74057">
        <w:rPr>
          <w:rFonts w:ascii="Helvetica" w:eastAsia="宋体" w:hAnsi="Helvetica" w:cs="Helvetica"/>
          <w:b/>
          <w:bCs/>
          <w:color w:val="3E3E3E"/>
          <w:kern w:val="0"/>
          <w:sz w:val="19"/>
        </w:rPr>
        <w:t>: </w:t>
      </w:r>
      <w:r w:rsidRPr="00A74057">
        <w:rPr>
          <w:rFonts w:ascii="Helvetica" w:eastAsia="宋体" w:hAnsi="Helvetica" w:cs="Helvetica"/>
          <w:b/>
          <w:bCs/>
          <w:color w:val="3E3E3E"/>
          <w:kern w:val="0"/>
          <w:sz w:val="19"/>
        </w:rPr>
        <w:t>国务院办公厅</w:t>
      </w:r>
    </w:p>
    <w:p w:rsidR="005B4FB0" w:rsidRDefault="005B4FB0"/>
    <w:sectPr w:rsidR="005B4F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FB0" w:rsidRDefault="005B4FB0" w:rsidP="00A74057">
      <w:r>
        <w:separator/>
      </w:r>
    </w:p>
  </w:endnote>
  <w:endnote w:type="continuationSeparator" w:id="1">
    <w:p w:rsidR="005B4FB0" w:rsidRDefault="005B4FB0" w:rsidP="00A740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FB0" w:rsidRDefault="005B4FB0" w:rsidP="00A74057">
      <w:r>
        <w:separator/>
      </w:r>
    </w:p>
  </w:footnote>
  <w:footnote w:type="continuationSeparator" w:id="1">
    <w:p w:rsidR="005B4FB0" w:rsidRDefault="005B4FB0" w:rsidP="00A740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4057"/>
    <w:rsid w:val="005B4FB0"/>
    <w:rsid w:val="00A740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4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74057"/>
    <w:rPr>
      <w:sz w:val="18"/>
      <w:szCs w:val="18"/>
    </w:rPr>
  </w:style>
  <w:style w:type="paragraph" w:styleId="a4">
    <w:name w:val="footer"/>
    <w:basedOn w:val="a"/>
    <w:link w:val="Char0"/>
    <w:uiPriority w:val="99"/>
    <w:semiHidden/>
    <w:unhideWhenUsed/>
    <w:rsid w:val="00A740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4057"/>
    <w:rPr>
      <w:sz w:val="18"/>
      <w:szCs w:val="18"/>
    </w:rPr>
  </w:style>
  <w:style w:type="paragraph" w:styleId="a5">
    <w:name w:val="Normal (Web)"/>
    <w:basedOn w:val="a"/>
    <w:uiPriority w:val="99"/>
    <w:unhideWhenUsed/>
    <w:rsid w:val="00A7405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74057"/>
    <w:rPr>
      <w:b/>
      <w:bCs/>
    </w:rPr>
  </w:style>
</w:styles>
</file>

<file path=word/webSettings.xml><?xml version="1.0" encoding="utf-8"?>
<w:webSettings xmlns:r="http://schemas.openxmlformats.org/officeDocument/2006/relationships" xmlns:w="http://schemas.openxmlformats.org/wordprocessingml/2006/main">
  <w:divs>
    <w:div w:id="207881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2017-12-20T01:01:00Z</dcterms:created>
  <dcterms:modified xsi:type="dcterms:W3CDTF">2017-12-20T01:04:00Z</dcterms:modified>
</cp:coreProperties>
</file>